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22" w:rsidRDefault="009C4F22" w:rsidP="009C4F22">
      <w:pPr>
        <w:jc w:val="center"/>
        <w:rPr>
          <w:b/>
        </w:rPr>
      </w:pPr>
      <w:bookmarkStart w:id="0" w:name="_GoBack"/>
      <w:r>
        <w:rPr>
          <w:b/>
        </w:rPr>
        <w:t>ST TAMMANY PARISH LEVEE, DRAINAGE AND CONSERVATION DISTRICT</w:t>
      </w:r>
    </w:p>
    <w:p w:rsidR="009C4F22" w:rsidRDefault="009C4F22" w:rsidP="009C4F22">
      <w:pPr>
        <w:jc w:val="center"/>
        <w:rPr>
          <w:b/>
        </w:rPr>
      </w:pPr>
    </w:p>
    <w:p w:rsidR="009C4F22" w:rsidRPr="00A50EB6" w:rsidRDefault="009C4F22" w:rsidP="009C4F22">
      <w:pPr>
        <w:jc w:val="center"/>
        <w:rPr>
          <w:b/>
        </w:rPr>
      </w:pPr>
      <w:r>
        <w:rPr>
          <w:b/>
        </w:rPr>
        <w:t xml:space="preserve">CAPITAL ASSET </w:t>
      </w:r>
      <w:r w:rsidRPr="00A50EB6">
        <w:rPr>
          <w:b/>
        </w:rPr>
        <w:t>POLICY</w:t>
      </w:r>
    </w:p>
    <w:p w:rsidR="009C4F22" w:rsidRPr="00A50EB6" w:rsidRDefault="009C4F22" w:rsidP="009C4F22">
      <w:pPr>
        <w:rPr>
          <w:b/>
        </w:rPr>
      </w:pPr>
    </w:p>
    <w:p w:rsidR="009C4F22" w:rsidRDefault="009C4F22" w:rsidP="009C4F22">
      <w:pPr>
        <w:autoSpaceDE w:val="0"/>
        <w:autoSpaceDN w:val="0"/>
        <w:adjustRightInd w:val="0"/>
        <w:rPr>
          <w:color w:val="000000"/>
        </w:rPr>
      </w:pPr>
      <w:r w:rsidRPr="00A50EB6">
        <w:rPr>
          <w:color w:val="000000"/>
        </w:rPr>
        <w:t xml:space="preserve">A capital asset is a tangible asset of the </w:t>
      </w:r>
      <w:r>
        <w:rPr>
          <w:color w:val="000000"/>
        </w:rPr>
        <w:t>St. Tammany Parish Levee, Drainage and Conservation District (District)</w:t>
      </w:r>
      <w:r w:rsidRPr="00A50EB6">
        <w:rPr>
          <w:color w:val="000000"/>
        </w:rPr>
        <w:t xml:space="preserve"> that </w:t>
      </w:r>
      <w:r>
        <w:rPr>
          <w:color w:val="000000"/>
        </w:rPr>
        <w:t xml:space="preserve">meets the following capitalization thresholds: </w:t>
      </w:r>
    </w:p>
    <w:p w:rsidR="009C4F22" w:rsidRDefault="009C4F22" w:rsidP="009C4F22">
      <w:pPr>
        <w:autoSpaceDE w:val="0"/>
        <w:autoSpaceDN w:val="0"/>
        <w:adjustRightInd w:val="0"/>
        <w:rPr>
          <w:color w:val="000000"/>
        </w:rPr>
      </w:pPr>
    </w:p>
    <w:tbl>
      <w:tblPr>
        <w:tblStyle w:val="TableGrid"/>
        <w:tblW w:w="0" w:type="auto"/>
        <w:tblInd w:w="288" w:type="dxa"/>
        <w:tblLook w:val="04A0" w:firstRow="1" w:lastRow="0" w:firstColumn="1" w:lastColumn="0" w:noHBand="0" w:noVBand="1"/>
      </w:tblPr>
      <w:tblGrid>
        <w:gridCol w:w="4410"/>
        <w:gridCol w:w="1800"/>
        <w:gridCol w:w="3078"/>
      </w:tblGrid>
      <w:tr w:rsidR="009C4F22" w:rsidRPr="00395A87" w:rsidTr="009C4F22">
        <w:tc>
          <w:tcPr>
            <w:tcW w:w="4410" w:type="dxa"/>
          </w:tcPr>
          <w:p w:rsidR="009C4F22" w:rsidRPr="00395A87" w:rsidRDefault="009C4F22" w:rsidP="009C4F22">
            <w:pPr>
              <w:autoSpaceDE w:val="0"/>
              <w:autoSpaceDN w:val="0"/>
              <w:adjustRightInd w:val="0"/>
              <w:rPr>
                <w:b/>
                <w:color w:val="000000"/>
              </w:rPr>
            </w:pPr>
            <w:r w:rsidRPr="00395A87">
              <w:rPr>
                <w:b/>
                <w:color w:val="000000"/>
              </w:rPr>
              <w:t>Capital Asset</w:t>
            </w:r>
          </w:p>
        </w:tc>
        <w:tc>
          <w:tcPr>
            <w:tcW w:w="1800" w:type="dxa"/>
          </w:tcPr>
          <w:p w:rsidR="009C4F22" w:rsidRPr="00395A87" w:rsidRDefault="009C4F22" w:rsidP="009C4F22">
            <w:pPr>
              <w:autoSpaceDE w:val="0"/>
              <w:autoSpaceDN w:val="0"/>
              <w:adjustRightInd w:val="0"/>
              <w:rPr>
                <w:b/>
                <w:color w:val="000000"/>
              </w:rPr>
            </w:pPr>
            <w:r w:rsidRPr="00395A87">
              <w:rPr>
                <w:b/>
                <w:color w:val="000000"/>
              </w:rPr>
              <w:t>Threshold</w:t>
            </w:r>
          </w:p>
        </w:tc>
        <w:tc>
          <w:tcPr>
            <w:tcW w:w="3078" w:type="dxa"/>
          </w:tcPr>
          <w:p w:rsidR="009C4F22" w:rsidRPr="00395A87" w:rsidRDefault="009C4F22" w:rsidP="009C4F22">
            <w:pPr>
              <w:autoSpaceDE w:val="0"/>
              <w:autoSpaceDN w:val="0"/>
              <w:adjustRightInd w:val="0"/>
              <w:rPr>
                <w:b/>
                <w:color w:val="000000"/>
              </w:rPr>
            </w:pPr>
            <w:r w:rsidRPr="00395A87">
              <w:rPr>
                <w:b/>
                <w:color w:val="000000"/>
              </w:rPr>
              <w:t>Useful Live</w:t>
            </w:r>
          </w:p>
        </w:tc>
      </w:tr>
      <w:tr w:rsidR="009C4F22" w:rsidTr="009C4F22">
        <w:tc>
          <w:tcPr>
            <w:tcW w:w="4410" w:type="dxa"/>
          </w:tcPr>
          <w:p w:rsidR="009C4F22" w:rsidRDefault="009C4F22" w:rsidP="00D8466B">
            <w:pPr>
              <w:autoSpaceDE w:val="0"/>
              <w:autoSpaceDN w:val="0"/>
              <w:adjustRightInd w:val="0"/>
              <w:rPr>
                <w:color w:val="000000"/>
              </w:rPr>
            </w:pPr>
            <w:r>
              <w:rPr>
                <w:color w:val="000000"/>
              </w:rPr>
              <w:t xml:space="preserve">Movable Property </w:t>
            </w:r>
          </w:p>
        </w:tc>
        <w:tc>
          <w:tcPr>
            <w:tcW w:w="1800" w:type="dxa"/>
          </w:tcPr>
          <w:p w:rsidR="009C4F22" w:rsidRDefault="009C4F22" w:rsidP="00D8466B">
            <w:pPr>
              <w:autoSpaceDE w:val="0"/>
              <w:autoSpaceDN w:val="0"/>
              <w:adjustRightInd w:val="0"/>
              <w:rPr>
                <w:color w:val="000000"/>
              </w:rPr>
            </w:pPr>
            <w:r>
              <w:rPr>
                <w:color w:val="000000"/>
              </w:rPr>
              <w:t>$</w:t>
            </w:r>
            <w:r w:rsidR="00D8466B">
              <w:rPr>
                <w:color w:val="000000"/>
              </w:rPr>
              <w:t>1</w:t>
            </w:r>
            <w:r>
              <w:rPr>
                <w:color w:val="000000"/>
              </w:rPr>
              <w:t>,500</w:t>
            </w:r>
          </w:p>
        </w:tc>
        <w:tc>
          <w:tcPr>
            <w:tcW w:w="3078" w:type="dxa"/>
          </w:tcPr>
          <w:p w:rsidR="009C4F22" w:rsidRDefault="009C4F22" w:rsidP="009C4F22">
            <w:pPr>
              <w:autoSpaceDE w:val="0"/>
              <w:autoSpaceDN w:val="0"/>
              <w:adjustRightInd w:val="0"/>
              <w:rPr>
                <w:color w:val="000000"/>
              </w:rPr>
            </w:pPr>
            <w:r>
              <w:rPr>
                <w:color w:val="000000"/>
              </w:rPr>
              <w:t>Varies – see table below</w:t>
            </w:r>
          </w:p>
        </w:tc>
      </w:tr>
      <w:tr w:rsidR="009C4F22" w:rsidTr="009C4F22">
        <w:tc>
          <w:tcPr>
            <w:tcW w:w="4410" w:type="dxa"/>
          </w:tcPr>
          <w:p w:rsidR="009C4F22" w:rsidRDefault="00395A87" w:rsidP="00D8466B">
            <w:pPr>
              <w:autoSpaceDE w:val="0"/>
              <w:autoSpaceDN w:val="0"/>
              <w:adjustRightInd w:val="0"/>
              <w:rPr>
                <w:color w:val="000000"/>
              </w:rPr>
            </w:pPr>
            <w:r>
              <w:rPr>
                <w:color w:val="000000"/>
              </w:rPr>
              <w:t xml:space="preserve">Buildings </w:t>
            </w:r>
          </w:p>
        </w:tc>
        <w:tc>
          <w:tcPr>
            <w:tcW w:w="1800" w:type="dxa"/>
          </w:tcPr>
          <w:p w:rsidR="009C4F22" w:rsidRDefault="00395A87" w:rsidP="00D8466B">
            <w:pPr>
              <w:autoSpaceDE w:val="0"/>
              <w:autoSpaceDN w:val="0"/>
              <w:adjustRightInd w:val="0"/>
              <w:rPr>
                <w:color w:val="000000"/>
              </w:rPr>
            </w:pPr>
            <w:r>
              <w:rPr>
                <w:color w:val="000000"/>
              </w:rPr>
              <w:t>$</w:t>
            </w:r>
            <w:r w:rsidR="00D8466B">
              <w:rPr>
                <w:color w:val="000000"/>
              </w:rPr>
              <w:t>50</w:t>
            </w:r>
            <w:r>
              <w:rPr>
                <w:color w:val="000000"/>
              </w:rPr>
              <w:t>,000</w:t>
            </w:r>
          </w:p>
        </w:tc>
        <w:tc>
          <w:tcPr>
            <w:tcW w:w="3078" w:type="dxa"/>
          </w:tcPr>
          <w:p w:rsidR="009C4F22" w:rsidRDefault="00395A87" w:rsidP="009C4F22">
            <w:pPr>
              <w:autoSpaceDE w:val="0"/>
              <w:autoSpaceDN w:val="0"/>
              <w:adjustRightInd w:val="0"/>
              <w:rPr>
                <w:color w:val="000000"/>
              </w:rPr>
            </w:pPr>
            <w:r>
              <w:rPr>
                <w:color w:val="000000"/>
              </w:rPr>
              <w:t>40 years</w:t>
            </w:r>
          </w:p>
        </w:tc>
      </w:tr>
      <w:tr w:rsidR="00D8466B" w:rsidTr="009C4F22">
        <w:tc>
          <w:tcPr>
            <w:tcW w:w="4410" w:type="dxa"/>
          </w:tcPr>
          <w:p w:rsidR="00D8466B" w:rsidRDefault="00D8466B" w:rsidP="009C4F22">
            <w:pPr>
              <w:autoSpaceDE w:val="0"/>
              <w:autoSpaceDN w:val="0"/>
              <w:adjustRightInd w:val="0"/>
              <w:rPr>
                <w:color w:val="000000"/>
              </w:rPr>
            </w:pPr>
            <w:r>
              <w:rPr>
                <w:color w:val="000000"/>
              </w:rPr>
              <w:t>Building improvements</w:t>
            </w:r>
          </w:p>
        </w:tc>
        <w:tc>
          <w:tcPr>
            <w:tcW w:w="1800" w:type="dxa"/>
          </w:tcPr>
          <w:p w:rsidR="00D8466B" w:rsidRDefault="00D8466B" w:rsidP="009C4F22">
            <w:pPr>
              <w:autoSpaceDE w:val="0"/>
              <w:autoSpaceDN w:val="0"/>
              <w:adjustRightInd w:val="0"/>
              <w:rPr>
                <w:color w:val="000000"/>
              </w:rPr>
            </w:pPr>
            <w:r>
              <w:rPr>
                <w:color w:val="000000"/>
              </w:rPr>
              <w:t>$5,500</w:t>
            </w:r>
          </w:p>
        </w:tc>
        <w:tc>
          <w:tcPr>
            <w:tcW w:w="3078" w:type="dxa"/>
          </w:tcPr>
          <w:p w:rsidR="00D8466B" w:rsidRDefault="00D8466B" w:rsidP="009C4F22">
            <w:pPr>
              <w:autoSpaceDE w:val="0"/>
              <w:autoSpaceDN w:val="0"/>
              <w:adjustRightInd w:val="0"/>
              <w:rPr>
                <w:color w:val="000000"/>
              </w:rPr>
            </w:pPr>
            <w:r>
              <w:rPr>
                <w:color w:val="000000"/>
              </w:rPr>
              <w:t>20 years</w:t>
            </w:r>
          </w:p>
        </w:tc>
      </w:tr>
      <w:tr w:rsidR="009C4F22" w:rsidTr="009C4F22">
        <w:tc>
          <w:tcPr>
            <w:tcW w:w="4410" w:type="dxa"/>
          </w:tcPr>
          <w:p w:rsidR="009C4F22" w:rsidRDefault="00395A87" w:rsidP="009C4F22">
            <w:pPr>
              <w:autoSpaceDE w:val="0"/>
              <w:autoSpaceDN w:val="0"/>
              <w:adjustRightInd w:val="0"/>
              <w:rPr>
                <w:color w:val="000000"/>
              </w:rPr>
            </w:pPr>
            <w:r>
              <w:rPr>
                <w:color w:val="000000"/>
              </w:rPr>
              <w:t>Leasehold Improvements</w:t>
            </w:r>
          </w:p>
        </w:tc>
        <w:tc>
          <w:tcPr>
            <w:tcW w:w="1800" w:type="dxa"/>
          </w:tcPr>
          <w:p w:rsidR="009C4F22" w:rsidRDefault="00395A87" w:rsidP="009C4F22">
            <w:pPr>
              <w:autoSpaceDE w:val="0"/>
              <w:autoSpaceDN w:val="0"/>
              <w:adjustRightInd w:val="0"/>
              <w:rPr>
                <w:color w:val="000000"/>
              </w:rPr>
            </w:pPr>
            <w:r>
              <w:rPr>
                <w:color w:val="000000"/>
              </w:rPr>
              <w:t>$10,000</w:t>
            </w:r>
          </w:p>
        </w:tc>
        <w:tc>
          <w:tcPr>
            <w:tcW w:w="3078" w:type="dxa"/>
          </w:tcPr>
          <w:p w:rsidR="009C4F22" w:rsidRDefault="00395A87" w:rsidP="009C4F22">
            <w:pPr>
              <w:autoSpaceDE w:val="0"/>
              <w:autoSpaceDN w:val="0"/>
              <w:adjustRightInd w:val="0"/>
              <w:rPr>
                <w:color w:val="000000"/>
              </w:rPr>
            </w:pPr>
            <w:r>
              <w:rPr>
                <w:color w:val="000000"/>
              </w:rPr>
              <w:t>20 years or terms of lease</w:t>
            </w:r>
          </w:p>
        </w:tc>
      </w:tr>
      <w:tr w:rsidR="009C4F22" w:rsidTr="009C4F22">
        <w:tc>
          <w:tcPr>
            <w:tcW w:w="4410" w:type="dxa"/>
          </w:tcPr>
          <w:p w:rsidR="009C4F22" w:rsidRDefault="00395A87" w:rsidP="00395A87">
            <w:pPr>
              <w:autoSpaceDE w:val="0"/>
              <w:autoSpaceDN w:val="0"/>
              <w:adjustRightInd w:val="0"/>
              <w:rPr>
                <w:color w:val="000000"/>
              </w:rPr>
            </w:pPr>
            <w:r>
              <w:rPr>
                <w:color w:val="000000"/>
              </w:rPr>
              <w:t>Land and Non-Depreciable land improvements</w:t>
            </w:r>
          </w:p>
        </w:tc>
        <w:tc>
          <w:tcPr>
            <w:tcW w:w="1800" w:type="dxa"/>
          </w:tcPr>
          <w:p w:rsidR="009C4F22" w:rsidRDefault="00D8466B" w:rsidP="009C4F22">
            <w:pPr>
              <w:autoSpaceDE w:val="0"/>
              <w:autoSpaceDN w:val="0"/>
              <w:adjustRightInd w:val="0"/>
              <w:rPr>
                <w:color w:val="000000"/>
              </w:rPr>
            </w:pPr>
            <w:r>
              <w:rPr>
                <w:color w:val="000000"/>
              </w:rPr>
              <w:t>N/A – capitalize all</w:t>
            </w:r>
          </w:p>
        </w:tc>
        <w:tc>
          <w:tcPr>
            <w:tcW w:w="3078" w:type="dxa"/>
          </w:tcPr>
          <w:p w:rsidR="009C4F22" w:rsidRDefault="00D8466B" w:rsidP="009C4F22">
            <w:pPr>
              <w:autoSpaceDE w:val="0"/>
              <w:autoSpaceDN w:val="0"/>
              <w:adjustRightInd w:val="0"/>
              <w:rPr>
                <w:color w:val="000000"/>
              </w:rPr>
            </w:pPr>
            <w:r>
              <w:rPr>
                <w:color w:val="000000"/>
              </w:rPr>
              <w:t>No useful life assigned for inexhaustible assets</w:t>
            </w:r>
          </w:p>
        </w:tc>
      </w:tr>
      <w:tr w:rsidR="009C4F22" w:rsidTr="009C4F22">
        <w:tc>
          <w:tcPr>
            <w:tcW w:w="4410" w:type="dxa"/>
          </w:tcPr>
          <w:p w:rsidR="009C4F22" w:rsidRDefault="00395A87" w:rsidP="009C4F22">
            <w:pPr>
              <w:autoSpaceDE w:val="0"/>
              <w:autoSpaceDN w:val="0"/>
              <w:adjustRightInd w:val="0"/>
              <w:rPr>
                <w:color w:val="000000"/>
              </w:rPr>
            </w:pPr>
            <w:r>
              <w:rPr>
                <w:color w:val="000000"/>
              </w:rPr>
              <w:t>Depreciable Land Improvements</w:t>
            </w:r>
          </w:p>
        </w:tc>
        <w:tc>
          <w:tcPr>
            <w:tcW w:w="1800" w:type="dxa"/>
          </w:tcPr>
          <w:p w:rsidR="009C4F22" w:rsidRDefault="009C4F22" w:rsidP="009C4F22">
            <w:pPr>
              <w:autoSpaceDE w:val="0"/>
              <w:autoSpaceDN w:val="0"/>
              <w:adjustRightInd w:val="0"/>
              <w:rPr>
                <w:color w:val="000000"/>
              </w:rPr>
            </w:pPr>
          </w:p>
        </w:tc>
        <w:tc>
          <w:tcPr>
            <w:tcW w:w="3078" w:type="dxa"/>
          </w:tcPr>
          <w:p w:rsidR="009C4F22" w:rsidRDefault="009C4F22" w:rsidP="009C4F22">
            <w:pPr>
              <w:autoSpaceDE w:val="0"/>
              <w:autoSpaceDN w:val="0"/>
              <w:adjustRightInd w:val="0"/>
              <w:rPr>
                <w:color w:val="000000"/>
              </w:rPr>
            </w:pPr>
          </w:p>
        </w:tc>
      </w:tr>
      <w:tr w:rsidR="00395A87" w:rsidTr="009C4F22">
        <w:tc>
          <w:tcPr>
            <w:tcW w:w="4410" w:type="dxa"/>
          </w:tcPr>
          <w:p w:rsidR="00395A87" w:rsidRDefault="00395A87" w:rsidP="009C4F22">
            <w:pPr>
              <w:autoSpaceDE w:val="0"/>
              <w:autoSpaceDN w:val="0"/>
              <w:adjustRightInd w:val="0"/>
              <w:rPr>
                <w:color w:val="000000"/>
              </w:rPr>
            </w:pPr>
          </w:p>
        </w:tc>
        <w:tc>
          <w:tcPr>
            <w:tcW w:w="1800" w:type="dxa"/>
          </w:tcPr>
          <w:p w:rsidR="00395A87" w:rsidRDefault="00395A87" w:rsidP="009C4F22">
            <w:pPr>
              <w:autoSpaceDE w:val="0"/>
              <w:autoSpaceDN w:val="0"/>
              <w:adjustRightInd w:val="0"/>
              <w:rPr>
                <w:color w:val="000000"/>
              </w:rPr>
            </w:pPr>
          </w:p>
        </w:tc>
        <w:tc>
          <w:tcPr>
            <w:tcW w:w="3078" w:type="dxa"/>
          </w:tcPr>
          <w:p w:rsidR="00395A87" w:rsidRDefault="00395A87" w:rsidP="009C4F22">
            <w:pPr>
              <w:autoSpaceDE w:val="0"/>
              <w:autoSpaceDN w:val="0"/>
              <w:adjustRightInd w:val="0"/>
              <w:rPr>
                <w:color w:val="000000"/>
              </w:rPr>
            </w:pPr>
          </w:p>
        </w:tc>
      </w:tr>
    </w:tbl>
    <w:p w:rsidR="009C4F22" w:rsidRDefault="009C4F22" w:rsidP="009C4F22">
      <w:pPr>
        <w:autoSpaceDE w:val="0"/>
        <w:autoSpaceDN w:val="0"/>
        <w:adjustRightInd w:val="0"/>
        <w:rPr>
          <w:color w:val="000000"/>
        </w:rPr>
      </w:pPr>
    </w:p>
    <w:p w:rsidR="009C4F22" w:rsidRPr="00A50EB6" w:rsidRDefault="009C4F22" w:rsidP="009C4F22">
      <w:pPr>
        <w:autoSpaceDE w:val="0"/>
        <w:autoSpaceDN w:val="0"/>
        <w:adjustRightInd w:val="0"/>
        <w:rPr>
          <w:color w:val="000000"/>
        </w:rPr>
      </w:pPr>
    </w:p>
    <w:tbl>
      <w:tblPr>
        <w:tblW w:w="5580" w:type="dxa"/>
        <w:tblInd w:w="1687" w:type="dxa"/>
        <w:tblBorders>
          <w:top w:val="nil"/>
          <w:left w:val="nil"/>
          <w:bottom w:val="nil"/>
          <w:right w:val="nil"/>
        </w:tblBorders>
        <w:tblLayout w:type="fixed"/>
        <w:tblLook w:val="0000" w:firstRow="0" w:lastRow="0" w:firstColumn="0" w:lastColumn="0" w:noHBand="0" w:noVBand="0"/>
      </w:tblPr>
      <w:tblGrid>
        <w:gridCol w:w="3060"/>
        <w:gridCol w:w="2520"/>
      </w:tblGrid>
      <w:tr w:rsidR="00D8466B" w:rsidRPr="009C4F22" w:rsidTr="00847B6C">
        <w:trPr>
          <w:trHeight w:val="269"/>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jc w:val="center"/>
              <w:rPr>
                <w:color w:val="000000"/>
                <w:sz w:val="23"/>
                <w:szCs w:val="23"/>
              </w:rPr>
            </w:pPr>
            <w:r>
              <w:rPr>
                <w:b/>
                <w:bCs/>
                <w:color w:val="000000"/>
                <w:sz w:val="23"/>
                <w:szCs w:val="23"/>
              </w:rPr>
              <w:t>Movable Property</w:t>
            </w:r>
            <w:r w:rsidRPr="009C4F22">
              <w:rPr>
                <w:b/>
                <w:bCs/>
                <w:color w:val="000000"/>
                <w:sz w:val="23"/>
                <w:szCs w:val="23"/>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b/>
                <w:bCs/>
                <w:color w:val="000000"/>
                <w:sz w:val="23"/>
                <w:szCs w:val="23"/>
              </w:rPr>
              <w:t xml:space="preserve">Estimated Useful Life </w:t>
            </w:r>
          </w:p>
        </w:tc>
      </w:tr>
      <w:tr w:rsidR="00D8466B" w:rsidRPr="009C4F22" w:rsidTr="00847B6C">
        <w:trPr>
          <w:trHeight w:val="251"/>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Machinery and Equipment</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 xml:space="preserve">  5 years</w:t>
            </w:r>
          </w:p>
        </w:tc>
      </w:tr>
      <w:tr w:rsidR="00D8466B" w:rsidRPr="009C4F22" w:rsidTr="00847B6C">
        <w:trPr>
          <w:trHeight w:val="251"/>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Vehicles</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 xml:space="preserve">  7 years</w:t>
            </w:r>
          </w:p>
        </w:tc>
      </w:tr>
      <w:tr w:rsidR="00D8466B" w:rsidRPr="009C4F22" w:rsidTr="00847B6C">
        <w:trPr>
          <w:trHeight w:val="251"/>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Computers</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 xml:space="preserve">  3 years</w:t>
            </w:r>
          </w:p>
        </w:tc>
      </w:tr>
      <w:tr w:rsidR="00D8466B" w:rsidRPr="009C4F22" w:rsidTr="00847B6C">
        <w:trPr>
          <w:trHeight w:val="251"/>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Office Equipment</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 xml:space="preserve">  7 years</w:t>
            </w:r>
          </w:p>
        </w:tc>
      </w:tr>
      <w:tr w:rsidR="00D8466B" w:rsidRPr="009C4F22" w:rsidTr="00847B6C">
        <w:trPr>
          <w:trHeight w:val="251"/>
        </w:trPr>
        <w:tc>
          <w:tcPr>
            <w:tcW w:w="306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Furniture</w:t>
            </w:r>
          </w:p>
        </w:tc>
        <w:tc>
          <w:tcPr>
            <w:tcW w:w="2520" w:type="dxa"/>
            <w:tcBorders>
              <w:top w:val="single" w:sz="4" w:space="0" w:color="000000"/>
              <w:left w:val="single" w:sz="4" w:space="0" w:color="000000"/>
              <w:bottom w:val="single" w:sz="4" w:space="0" w:color="000000"/>
              <w:right w:val="single" w:sz="4" w:space="0" w:color="000000"/>
            </w:tcBorders>
          </w:tcPr>
          <w:p w:rsidR="00D8466B" w:rsidRPr="009C4F22" w:rsidRDefault="00D8466B" w:rsidP="00847B6C">
            <w:pPr>
              <w:autoSpaceDE w:val="0"/>
              <w:autoSpaceDN w:val="0"/>
              <w:adjustRightInd w:val="0"/>
              <w:rPr>
                <w:color w:val="000000"/>
                <w:sz w:val="23"/>
                <w:szCs w:val="23"/>
              </w:rPr>
            </w:pPr>
            <w:r w:rsidRPr="009C4F22">
              <w:rPr>
                <w:color w:val="000000"/>
                <w:sz w:val="23"/>
                <w:szCs w:val="23"/>
              </w:rPr>
              <w:t xml:space="preserve">  7 years</w:t>
            </w:r>
          </w:p>
        </w:tc>
      </w:tr>
    </w:tbl>
    <w:p w:rsidR="00D8466B" w:rsidRDefault="00D8466B" w:rsidP="009C4F22">
      <w:pPr>
        <w:autoSpaceDE w:val="0"/>
        <w:autoSpaceDN w:val="0"/>
        <w:adjustRightInd w:val="0"/>
        <w:rPr>
          <w:color w:val="000000"/>
        </w:rPr>
      </w:pPr>
    </w:p>
    <w:p w:rsidR="00D8466B" w:rsidRDefault="00406CDF" w:rsidP="00406CDF">
      <w:pPr>
        <w:autoSpaceDE w:val="0"/>
        <w:autoSpaceDN w:val="0"/>
        <w:adjustRightInd w:val="0"/>
        <w:jc w:val="both"/>
        <w:rPr>
          <w:color w:val="000000"/>
        </w:rPr>
      </w:pPr>
      <w:r>
        <w:rPr>
          <w:color w:val="000000"/>
        </w:rPr>
        <w:t>Building Improvements are major repairs, renovations, or additions to a building that increases the future service potential of the building and benefit future periods.  The building and the improvements become one and inseparable.</w:t>
      </w:r>
    </w:p>
    <w:p w:rsidR="00406CDF" w:rsidRDefault="00406CDF" w:rsidP="00406CDF">
      <w:pPr>
        <w:autoSpaceDE w:val="0"/>
        <w:autoSpaceDN w:val="0"/>
        <w:adjustRightInd w:val="0"/>
        <w:jc w:val="both"/>
        <w:rPr>
          <w:color w:val="000000"/>
        </w:rPr>
      </w:pPr>
    </w:p>
    <w:p w:rsidR="00406CDF" w:rsidRDefault="00406CDF" w:rsidP="00406CDF">
      <w:pPr>
        <w:autoSpaceDE w:val="0"/>
        <w:autoSpaceDN w:val="0"/>
        <w:adjustRightInd w:val="0"/>
        <w:jc w:val="both"/>
        <w:rPr>
          <w:color w:val="000000"/>
        </w:rPr>
      </w:pPr>
      <w:r>
        <w:rPr>
          <w:color w:val="000000"/>
        </w:rPr>
        <w:t>Leasehold Improvements are improvements made by the District to leased property such as land and buildings. The District has the right to use the facilities and improvement during the life of the lease, but improvements would revert back to the lessor at the expiration of the lease.</w:t>
      </w:r>
    </w:p>
    <w:p w:rsidR="00406CDF" w:rsidRDefault="00406CDF" w:rsidP="00406CDF">
      <w:pPr>
        <w:autoSpaceDE w:val="0"/>
        <w:autoSpaceDN w:val="0"/>
        <w:adjustRightInd w:val="0"/>
        <w:jc w:val="both"/>
        <w:rPr>
          <w:color w:val="000000"/>
        </w:rPr>
      </w:pPr>
    </w:p>
    <w:p w:rsidR="00406CDF" w:rsidRDefault="00406CDF" w:rsidP="00406CDF">
      <w:pPr>
        <w:autoSpaceDE w:val="0"/>
        <w:autoSpaceDN w:val="0"/>
        <w:adjustRightInd w:val="0"/>
        <w:jc w:val="both"/>
        <w:rPr>
          <w:color w:val="000000"/>
        </w:rPr>
      </w:pPr>
      <w:r>
        <w:rPr>
          <w:color w:val="000000"/>
        </w:rPr>
        <w:t xml:space="preserve">Depreciable Land Improvements are defined as improvements made to land that have determinable estimated useful lives and deteriorate with use or passage of time.  These improvements are built or installed to enhance or facilitate the use of the land for a particular purpose.  Depreciable land improvements made include walking paths and trails, fences and gates, landscaping, sprinkler systems, and fountains. </w:t>
      </w:r>
    </w:p>
    <w:p w:rsidR="00406CDF" w:rsidRDefault="00406CDF" w:rsidP="00406CDF">
      <w:pPr>
        <w:autoSpaceDE w:val="0"/>
        <w:autoSpaceDN w:val="0"/>
        <w:adjustRightInd w:val="0"/>
        <w:jc w:val="both"/>
        <w:rPr>
          <w:color w:val="000000"/>
        </w:rPr>
      </w:pPr>
    </w:p>
    <w:p w:rsidR="009C4F22" w:rsidRPr="00A50EB6" w:rsidRDefault="009C4F22" w:rsidP="009C4F22">
      <w:pPr>
        <w:autoSpaceDE w:val="0"/>
        <w:autoSpaceDN w:val="0"/>
        <w:adjustRightInd w:val="0"/>
        <w:rPr>
          <w:color w:val="000000"/>
        </w:rPr>
      </w:pPr>
      <w:r w:rsidRPr="00A50EB6">
        <w:rPr>
          <w:color w:val="000000"/>
        </w:rPr>
        <w:t xml:space="preserve">Capital assets are reported in the </w:t>
      </w:r>
      <w:r>
        <w:rPr>
          <w:color w:val="000000"/>
        </w:rPr>
        <w:t>District</w:t>
      </w:r>
      <w:r w:rsidRPr="00A50EB6">
        <w:rPr>
          <w:color w:val="000000"/>
        </w:rPr>
        <w:t xml:space="preserve">’s financial statements at cost (including interest and freight, if any).  However, capital assets received as donations are reported at their estimated fair market value at the time of donation.  </w:t>
      </w:r>
    </w:p>
    <w:p w:rsidR="009C4F22" w:rsidRPr="00A50EB6" w:rsidRDefault="009C4F22" w:rsidP="009C4F22">
      <w:pPr>
        <w:autoSpaceDE w:val="0"/>
        <w:autoSpaceDN w:val="0"/>
        <w:adjustRightInd w:val="0"/>
        <w:rPr>
          <w:color w:val="000000"/>
        </w:rPr>
      </w:pPr>
    </w:p>
    <w:p w:rsidR="009C4F22" w:rsidRDefault="009C4F22" w:rsidP="009C4F22">
      <w:pPr>
        <w:autoSpaceDE w:val="0"/>
        <w:autoSpaceDN w:val="0"/>
        <w:adjustRightInd w:val="0"/>
        <w:rPr>
          <w:color w:val="000000"/>
        </w:rPr>
      </w:pPr>
      <w:r w:rsidRPr="00A50EB6">
        <w:rPr>
          <w:color w:val="000000"/>
        </w:rPr>
        <w:t xml:space="preserve">Except for land which is not depreciated, capital assets are depreciated over their estimated useful lives using the straight-line method of depreciation. </w:t>
      </w:r>
      <w:r w:rsidR="00D8466B">
        <w:rPr>
          <w:color w:val="000000"/>
        </w:rPr>
        <w:t>A full year of depreciation is taken in the year the asset is placed in service, while none is taken in the year the asset is disposed.</w:t>
      </w:r>
    </w:p>
    <w:p w:rsidR="00D8466B" w:rsidRPr="00A50EB6" w:rsidRDefault="00D8466B" w:rsidP="009C4F22">
      <w:pPr>
        <w:autoSpaceDE w:val="0"/>
        <w:autoSpaceDN w:val="0"/>
        <w:adjustRightInd w:val="0"/>
        <w:rPr>
          <w:sz w:val="23"/>
          <w:szCs w:val="23"/>
        </w:rPr>
      </w:pPr>
    </w:p>
    <w:p w:rsidR="00D8466B" w:rsidRPr="00A50EB6" w:rsidRDefault="00560DDF" w:rsidP="00D8466B">
      <w:pPr>
        <w:autoSpaceDE w:val="0"/>
        <w:autoSpaceDN w:val="0"/>
        <w:adjustRightInd w:val="0"/>
        <w:rPr>
          <w:color w:val="000000"/>
        </w:rPr>
      </w:pPr>
      <w:r>
        <w:rPr>
          <w:color w:val="000000"/>
        </w:rPr>
        <w:t>The District will maintain</w:t>
      </w:r>
      <w:r w:rsidR="00D8466B" w:rsidRPr="00A50EB6">
        <w:rPr>
          <w:color w:val="000000"/>
        </w:rPr>
        <w:t xml:space="preserve"> records of its capital assets.  </w:t>
      </w:r>
      <w:r>
        <w:rPr>
          <w:color w:val="000000"/>
        </w:rPr>
        <w:t>Upon purchase all movable assets will be tagged</w:t>
      </w:r>
      <w:r w:rsidR="00D8466B" w:rsidRPr="00A50EB6">
        <w:rPr>
          <w:color w:val="000000"/>
        </w:rPr>
        <w:t xml:space="preserve"> (for identification purposes)</w:t>
      </w:r>
      <w:r>
        <w:rPr>
          <w:color w:val="000000"/>
        </w:rPr>
        <w:t xml:space="preserve">.  Annually an </w:t>
      </w:r>
      <w:r w:rsidR="00D8466B" w:rsidRPr="00A50EB6">
        <w:rPr>
          <w:color w:val="000000"/>
        </w:rPr>
        <w:t>inventory of all capital assets</w:t>
      </w:r>
      <w:r>
        <w:rPr>
          <w:color w:val="000000"/>
        </w:rPr>
        <w:t xml:space="preserve"> will occur</w:t>
      </w:r>
      <w:r w:rsidR="00D8466B" w:rsidRPr="00A50EB6">
        <w:rPr>
          <w:color w:val="000000"/>
        </w:rPr>
        <w:t xml:space="preserve">.  The listing of capital assets is to be updated each year for assets acquired and disposed.  </w:t>
      </w:r>
    </w:p>
    <w:bookmarkEnd w:id="0"/>
    <w:p w:rsidR="002045E6" w:rsidRDefault="002045E6"/>
    <w:sectPr w:rsidR="00204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41" w:rsidRDefault="00A42941" w:rsidP="00A42941">
      <w:r>
        <w:separator/>
      </w:r>
    </w:p>
  </w:endnote>
  <w:endnote w:type="continuationSeparator" w:id="0">
    <w:p w:rsidR="00A42941" w:rsidRDefault="00A42941" w:rsidP="00A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41" w:rsidRDefault="00A42941" w:rsidP="00A42941">
      <w:r>
        <w:separator/>
      </w:r>
    </w:p>
  </w:footnote>
  <w:footnote w:type="continuationSeparator" w:id="0">
    <w:p w:rsidR="00A42941" w:rsidRDefault="00A42941" w:rsidP="00A4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41" w:rsidRDefault="00A42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22"/>
    <w:rsid w:val="002045E6"/>
    <w:rsid w:val="00395A87"/>
    <w:rsid w:val="00406CDF"/>
    <w:rsid w:val="00560DDF"/>
    <w:rsid w:val="009C4F22"/>
    <w:rsid w:val="00A42941"/>
    <w:rsid w:val="00D8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941"/>
    <w:pPr>
      <w:tabs>
        <w:tab w:val="center" w:pos="4680"/>
        <w:tab w:val="right" w:pos="9360"/>
      </w:tabs>
    </w:pPr>
  </w:style>
  <w:style w:type="character" w:customStyle="1" w:styleId="HeaderChar">
    <w:name w:val="Header Char"/>
    <w:basedOn w:val="DefaultParagraphFont"/>
    <w:link w:val="Header"/>
    <w:uiPriority w:val="99"/>
    <w:rsid w:val="00A429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2941"/>
    <w:pPr>
      <w:tabs>
        <w:tab w:val="center" w:pos="4680"/>
        <w:tab w:val="right" w:pos="9360"/>
      </w:tabs>
    </w:pPr>
  </w:style>
  <w:style w:type="character" w:customStyle="1" w:styleId="FooterChar">
    <w:name w:val="Footer Char"/>
    <w:basedOn w:val="DefaultParagraphFont"/>
    <w:link w:val="Footer"/>
    <w:uiPriority w:val="99"/>
    <w:rsid w:val="00A429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941"/>
    <w:pPr>
      <w:tabs>
        <w:tab w:val="center" w:pos="4680"/>
        <w:tab w:val="right" w:pos="9360"/>
      </w:tabs>
    </w:pPr>
  </w:style>
  <w:style w:type="character" w:customStyle="1" w:styleId="HeaderChar">
    <w:name w:val="Header Char"/>
    <w:basedOn w:val="DefaultParagraphFont"/>
    <w:link w:val="Header"/>
    <w:uiPriority w:val="99"/>
    <w:rsid w:val="00A429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2941"/>
    <w:pPr>
      <w:tabs>
        <w:tab w:val="center" w:pos="4680"/>
        <w:tab w:val="right" w:pos="9360"/>
      </w:tabs>
    </w:pPr>
  </w:style>
  <w:style w:type="character" w:customStyle="1" w:styleId="FooterChar">
    <w:name w:val="Footer Char"/>
    <w:basedOn w:val="DefaultParagraphFont"/>
    <w:link w:val="Footer"/>
    <w:uiPriority w:val="99"/>
    <w:rsid w:val="00A429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Cunningham</dc:creator>
  <cp:lastModifiedBy>Michelle Cunningham</cp:lastModifiedBy>
  <cp:revision>3</cp:revision>
  <dcterms:created xsi:type="dcterms:W3CDTF">2016-04-01T16:34:00Z</dcterms:created>
  <dcterms:modified xsi:type="dcterms:W3CDTF">2016-04-08T21:05:00Z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workpaperIndex">
    <vt:lpwstr>3000.02</vt:lpwstr>
  </op:property>
</op:Properties>
</file>